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3A4BA845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000BA1">
        <w:rPr>
          <w:rStyle w:val="MessageHeaderLabel"/>
          <w:b w:val="0"/>
          <w:sz w:val="22"/>
        </w:rPr>
        <w:t>5</w:t>
      </w:r>
      <w:r w:rsidR="00B30A62">
        <w:rPr>
          <w:rStyle w:val="MessageHeaderLabel"/>
          <w:b w:val="0"/>
          <w:sz w:val="22"/>
        </w:rPr>
        <w:t>/</w:t>
      </w:r>
      <w:r w:rsidR="00000BA1">
        <w:rPr>
          <w:rStyle w:val="MessageHeaderLabel"/>
          <w:b w:val="0"/>
          <w:sz w:val="22"/>
        </w:rPr>
        <w:t>31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000BA1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000BA1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000BA1">
        <w:rPr>
          <w:rStyle w:val="MessageHeaderLabel"/>
          <w:b w:val="0"/>
          <w:sz w:val="22"/>
        </w:rPr>
        <w:t>20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03832C79" w:rsidR="00420467" w:rsidRDefault="00EE37D6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BA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EE37D6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AACDD24" w14:textId="744ED92D" w:rsidR="00C2126E" w:rsidRDefault="00CB5F74" w:rsidP="00C2126E">
            <w:pPr>
              <w:pStyle w:val="BodyText"/>
            </w:pPr>
            <w:r>
              <w:t>Andres Fergadiotti (Andres.Fergadiotti@SCE.com)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48FE5C90" w:rsidR="00A047C5" w:rsidRDefault="004C138F" w:rsidP="006B5B36">
            <w:pPr>
              <w:pStyle w:val="BodyText"/>
            </w:pPr>
            <w:r>
              <w:t>Air-</w:t>
            </w:r>
            <w:r w:rsidR="001250BC">
              <w:t>Cooled Chiller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0FEE967A" w:rsidR="00A047C5" w:rsidRDefault="006B74B3" w:rsidP="00000BA1">
            <w:pPr>
              <w:pStyle w:val="BodyText"/>
            </w:pPr>
            <w:r>
              <w:t>SWHC020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26E6631D" w:rsidR="00A047C5" w:rsidRDefault="006B74B3" w:rsidP="006B5B36">
            <w:pPr>
              <w:pStyle w:val="BodyText"/>
            </w:pPr>
            <w:r>
              <w:t>01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3B5C7661" w:rsidR="007C6229" w:rsidRDefault="00746B30" w:rsidP="006B5B36">
            <w:pPr>
              <w:pStyle w:val="BodyText"/>
            </w:pPr>
            <w:r>
              <w:t>SWHC020-01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55BA254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746B30">
                    <w:t>2020</w:t>
                  </w:r>
                </w:p>
              </w:tc>
              <w:tc>
                <w:tcPr>
                  <w:tcW w:w="1955" w:type="dxa"/>
                </w:tcPr>
                <w:p w14:paraId="5A8D762B" w14:textId="6A3552EC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46B30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0F467F07" w:rsidR="006565AA" w:rsidRDefault="00746B30" w:rsidP="006565AA">
                  <w:pPr>
                    <w:pStyle w:val="BodyText"/>
                  </w:pPr>
                  <w:r>
                    <w:t>01/01/2020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4F0F7500" w:rsidR="006565AA" w:rsidRDefault="00000BA1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507F39C8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ED3BE7">
        <w:trPr>
          <w:trHeight w:val="791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3E6F58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DD5143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59045451" w14:textId="50A81432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DD5143">
                    <w:t xml:space="preserve"> N/A</w:t>
                  </w:r>
                </w:p>
                <w:p w14:paraId="162379ED" w14:textId="57938F9E" w:rsidR="00DC1A5B" w:rsidRDefault="00DC1A5B" w:rsidP="00CA3BD5">
                  <w:pPr>
                    <w:pStyle w:val="BodyText"/>
                  </w:pPr>
                  <w:r>
                    <w:t>Electric:</w:t>
                  </w:r>
                  <w:r w:rsidR="00CA3BD5">
                    <w:t xml:space="preserve"> Less than 1% of deemed portfolio excluding lighting</w:t>
                  </w:r>
                </w:p>
              </w:tc>
            </w:tr>
          </w:tbl>
          <w:p w14:paraId="7CEBB5FA" w14:textId="5D5B3462" w:rsidR="00A047C5" w:rsidRDefault="007A63DE" w:rsidP="006B5B36">
            <w:pPr>
              <w:pStyle w:val="BodyText"/>
            </w:pPr>
            <w:r>
              <w:lastRenderedPageBreak/>
              <w:t>Notes:</w:t>
            </w:r>
            <w:r w:rsidR="00CA3BD5" w:rsidRPr="00326DF8">
              <w:t xml:space="preserve"> Total upstream program including both air-cooled and water-cooled chiller: 800,000 Net KWh</w:t>
            </w:r>
          </w:p>
          <w:p w14:paraId="5840B3F1" w14:textId="77777777" w:rsidR="00517146" w:rsidRDefault="00517146" w:rsidP="00000BA1">
            <w:pPr>
              <w:pStyle w:val="BodyText"/>
            </w:pP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70447CE4" w14:textId="68816BEB" w:rsidR="00DC1A5B" w:rsidRDefault="00DC1A5B" w:rsidP="0026101C">
                  <w:pPr>
                    <w:pStyle w:val="BodyText"/>
                  </w:pPr>
                  <w:r>
                    <w:t>Electric:</w:t>
                  </w:r>
                  <w:r w:rsidR="00000BA1">
                    <w:t>-</w:t>
                  </w:r>
                  <w:r w:rsidR="0026101C">
                    <w:t>Less than 1%</w:t>
                  </w:r>
                  <w:bookmarkStart w:id="2" w:name="_GoBack"/>
                  <w:bookmarkEnd w:id="2"/>
                </w:p>
              </w:tc>
            </w:tr>
          </w:tbl>
          <w:p w14:paraId="3511FD96" w14:textId="6AE5A3CD" w:rsidR="00225F3D" w:rsidRDefault="007A63DE" w:rsidP="006B5B36">
            <w:pPr>
              <w:pStyle w:val="BodyText"/>
            </w:pPr>
            <w:r>
              <w:t>Notes:</w:t>
            </w:r>
            <w:r w:rsidR="00293E51">
              <w:t xml:space="preserve"> </w:t>
            </w:r>
          </w:p>
          <w:p w14:paraId="0E3A2848" w14:textId="77777777" w:rsidR="007A63DE" w:rsidRDefault="007A63DE" w:rsidP="006B5B36">
            <w:pPr>
              <w:pStyle w:val="BodyText"/>
            </w:pP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65F28003" w:rsidR="00ED4A6C" w:rsidRDefault="00EE37D6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60BA2A24" w14:textId="67B1A913" w:rsidR="00A047C5" w:rsidRDefault="00421F5A" w:rsidP="00ED4A6C">
            <w:pPr>
              <w:pStyle w:val="BodyText"/>
            </w:pPr>
            <w:r>
              <w:t>Notes:</w:t>
            </w:r>
            <w:r w:rsidR="007D0401">
              <w:t xml:space="preserve"> </w:t>
            </w:r>
            <w:r w:rsidR="00FE2836">
              <w:t xml:space="preserve"> </w:t>
            </w:r>
            <w:r w:rsidR="00872949">
              <w:t>DEER2020 measures</w:t>
            </w:r>
            <w:r w:rsidR="007D0401">
              <w:t>, SCE17HC030.0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1A2EC3F4" w:rsidR="00ED4A6C" w:rsidRDefault="00EE37D6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5374BE85" w14:textId="77777777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614C5693" w:rsidR="0040312B" w:rsidRDefault="00EE37D6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089F0B01" w14:textId="77777777" w:rsidR="0040312B" w:rsidRDefault="00EE37D6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5875E9D9" w14:textId="06C9DE72" w:rsidR="0040312B" w:rsidRDefault="00EE37D6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40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3E99046C" w14:textId="77777777" w:rsidR="00A047C5" w:rsidRDefault="00EE37D6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77777777" w:rsidR="0040312B" w:rsidRDefault="00EE37D6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BC28DD3" w14:textId="77777777" w:rsidR="0040312B" w:rsidRDefault="00EE37D6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77777777" w:rsidR="0040312B" w:rsidRDefault="00EE37D6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ED3BE7" w:rsidRDefault="00517146" w:rsidP="00165E3B">
            <w:pPr>
              <w:pStyle w:val="BodyText"/>
            </w:pPr>
            <w:r w:rsidRPr="00ED3BE7">
              <w:lastRenderedPageBreak/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ED3BE7" w:rsidRDefault="00517146" w:rsidP="006B5B36">
            <w:pPr>
              <w:pStyle w:val="BodyText"/>
            </w:pPr>
            <w:r w:rsidRPr="00ED3BE7">
              <w:t>Utilities must demonstrate how they have consulted with stakeholders in their workpaper submissions, this could include vendors, third party implementers, manufacturers, CalTF, etc.</w:t>
            </w:r>
          </w:p>
        </w:tc>
        <w:tc>
          <w:tcPr>
            <w:tcW w:w="4140" w:type="dxa"/>
          </w:tcPr>
          <w:p w14:paraId="4E80B70A" w14:textId="77777777" w:rsidR="00517146" w:rsidRPr="00ED3BE7" w:rsidRDefault="00517146" w:rsidP="006B5B36">
            <w:pPr>
              <w:pStyle w:val="BodyText"/>
            </w:pPr>
            <w:r w:rsidRPr="00ED3BE7">
              <w:t>Notes:</w:t>
            </w:r>
          </w:p>
          <w:p w14:paraId="053C4FC0" w14:textId="7D8A6744" w:rsidR="009D4E29" w:rsidRPr="00ED3BE7" w:rsidRDefault="009D4E29" w:rsidP="00ED3BE7">
            <w:pPr>
              <w:pStyle w:val="BodyText"/>
            </w:pPr>
            <w:r w:rsidRPr="00ED3BE7">
              <w:t>This is a DEER workpaper update with limited interaction and consultation with stakeholders other than IOU</w:t>
            </w:r>
            <w:r w:rsidR="00DD5143" w:rsidRPr="00ED3BE7">
              <w:t xml:space="preserve">s.  </w:t>
            </w:r>
            <w:r w:rsidRPr="00ED3BE7">
              <w:t>SCE is currently conducting a market assessment to evaluate alignment between the market and DEER2020 and for recommending revisions to the</w:t>
            </w:r>
            <w:r w:rsidR="00442111" w:rsidRPr="00ED3BE7">
              <w:t xml:space="preserve"> DEER2020 tier for improving program participation based on equipment availability in the market.</w:t>
            </w:r>
            <w:r w:rsidR="00DD5143" w:rsidRPr="00ED3BE7">
              <w:t xml:space="preserve">  Study expected to be made available to CPUC sometime</w:t>
            </w:r>
            <w:r w:rsidR="00ED3BE7">
              <w:t xml:space="preserve"> in late Q2</w:t>
            </w:r>
            <w:r w:rsidR="00DD5143" w:rsidRPr="00ED3BE7">
              <w:t xml:space="preserve">. </w:t>
            </w:r>
            <w:r w:rsidR="00442111" w:rsidRPr="00ED3BE7">
              <w:t xml:space="preserve"> </w:t>
            </w:r>
            <w:r w:rsidRPr="00ED3BE7">
              <w:t xml:space="preserve"> </w:t>
            </w: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0CE30C63" w14:textId="39CA5536" w:rsidR="00A047C5" w:rsidRDefault="00F0453D" w:rsidP="006B5B36">
            <w:pPr>
              <w:pStyle w:val="BodyText"/>
            </w:pPr>
            <w:r>
              <w:t xml:space="preserve">Added </w:t>
            </w:r>
            <w:r w:rsidR="001C2695">
              <w:t xml:space="preserve">“NC” MAT in </w:t>
            </w:r>
            <w:r w:rsidR="009601A3">
              <w:t>update</w:t>
            </w:r>
            <w:r w:rsidR="002B0D78">
              <w:t>. I</w:t>
            </w:r>
            <w:r w:rsidR="009601A3">
              <w:t xml:space="preserve">mpacts are based </w:t>
            </w:r>
            <w:r w:rsidR="007F64D9">
              <w:t xml:space="preserve">DEER2020 impacts.  </w:t>
            </w:r>
          </w:p>
        </w:tc>
      </w:tr>
    </w:tbl>
    <w:p w14:paraId="3C7DF2C2" w14:textId="2D3DBED6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4F32A7CC" w14:textId="77777777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85F88" w14:textId="77777777" w:rsidR="00EE37D6" w:rsidRDefault="00EE37D6">
      <w:r>
        <w:separator/>
      </w:r>
    </w:p>
  </w:endnote>
  <w:endnote w:type="continuationSeparator" w:id="0">
    <w:p w14:paraId="2FFABEBB" w14:textId="77777777" w:rsidR="00EE37D6" w:rsidRDefault="00EE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B8EE" w14:textId="77777777" w:rsidR="002C735D" w:rsidRPr="00C43666" w:rsidRDefault="00EE37D6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012755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3B56A7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26101C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DCEA8" w14:textId="77777777" w:rsidR="00EE37D6" w:rsidRDefault="00EE37D6">
      <w:r>
        <w:separator/>
      </w:r>
    </w:p>
  </w:footnote>
  <w:footnote w:type="continuationSeparator" w:id="0">
    <w:p w14:paraId="44161718" w14:textId="77777777" w:rsidR="00EE37D6" w:rsidRDefault="00EE3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0BA1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2695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01C"/>
    <w:rsid w:val="00261637"/>
    <w:rsid w:val="002739E6"/>
    <w:rsid w:val="0028572E"/>
    <w:rsid w:val="00287B3D"/>
    <w:rsid w:val="002928B6"/>
    <w:rsid w:val="00293E51"/>
    <w:rsid w:val="002A0B0A"/>
    <w:rsid w:val="002A1400"/>
    <w:rsid w:val="002A538F"/>
    <w:rsid w:val="002B0D78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1E3C"/>
    <w:rsid w:val="00307107"/>
    <w:rsid w:val="003072E4"/>
    <w:rsid w:val="00315519"/>
    <w:rsid w:val="00324DA9"/>
    <w:rsid w:val="00326FA7"/>
    <w:rsid w:val="0033122E"/>
    <w:rsid w:val="003364CF"/>
    <w:rsid w:val="00341B63"/>
    <w:rsid w:val="00343D80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B56A7"/>
    <w:rsid w:val="003C13E1"/>
    <w:rsid w:val="003C14F5"/>
    <w:rsid w:val="003C5380"/>
    <w:rsid w:val="003D09F5"/>
    <w:rsid w:val="003D37A2"/>
    <w:rsid w:val="003D7C0F"/>
    <w:rsid w:val="003E3CCA"/>
    <w:rsid w:val="003E506C"/>
    <w:rsid w:val="003F0552"/>
    <w:rsid w:val="0040312B"/>
    <w:rsid w:val="0040642F"/>
    <w:rsid w:val="00414F83"/>
    <w:rsid w:val="004159E9"/>
    <w:rsid w:val="00420467"/>
    <w:rsid w:val="00421F5A"/>
    <w:rsid w:val="00422435"/>
    <w:rsid w:val="00422D25"/>
    <w:rsid w:val="00424A70"/>
    <w:rsid w:val="004272B8"/>
    <w:rsid w:val="00442111"/>
    <w:rsid w:val="0044715E"/>
    <w:rsid w:val="00450B70"/>
    <w:rsid w:val="00454F59"/>
    <w:rsid w:val="00462F42"/>
    <w:rsid w:val="00463302"/>
    <w:rsid w:val="00477C7D"/>
    <w:rsid w:val="004845D7"/>
    <w:rsid w:val="00495E6F"/>
    <w:rsid w:val="00497C12"/>
    <w:rsid w:val="004A647E"/>
    <w:rsid w:val="004B6DB6"/>
    <w:rsid w:val="004C138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B74B3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93C9C"/>
    <w:rsid w:val="007A0223"/>
    <w:rsid w:val="007A1009"/>
    <w:rsid w:val="007A109B"/>
    <w:rsid w:val="007A63DE"/>
    <w:rsid w:val="007B7815"/>
    <w:rsid w:val="007C0E7D"/>
    <w:rsid w:val="007C10C8"/>
    <w:rsid w:val="007C6229"/>
    <w:rsid w:val="007D0401"/>
    <w:rsid w:val="007D0DD2"/>
    <w:rsid w:val="007D1C82"/>
    <w:rsid w:val="007D5E7E"/>
    <w:rsid w:val="007E25DA"/>
    <w:rsid w:val="007E79A6"/>
    <w:rsid w:val="007F5EA3"/>
    <w:rsid w:val="007F64D9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2C00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5AC3"/>
    <w:rsid w:val="009171A9"/>
    <w:rsid w:val="00922A3A"/>
    <w:rsid w:val="009242F2"/>
    <w:rsid w:val="009258F9"/>
    <w:rsid w:val="0092736D"/>
    <w:rsid w:val="009366D6"/>
    <w:rsid w:val="00937C99"/>
    <w:rsid w:val="00940229"/>
    <w:rsid w:val="00942CA4"/>
    <w:rsid w:val="009601A3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8BD"/>
    <w:rsid w:val="009D03CB"/>
    <w:rsid w:val="009D2852"/>
    <w:rsid w:val="009D35E0"/>
    <w:rsid w:val="009D4E29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223D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531C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3BD5"/>
    <w:rsid w:val="00CA7A89"/>
    <w:rsid w:val="00CB5F7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4DF2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D5143"/>
    <w:rsid w:val="00DE3523"/>
    <w:rsid w:val="00DE3BF1"/>
    <w:rsid w:val="00DE57CC"/>
    <w:rsid w:val="00DE5B0A"/>
    <w:rsid w:val="00DF1C08"/>
    <w:rsid w:val="00E016BB"/>
    <w:rsid w:val="00E038B2"/>
    <w:rsid w:val="00E0483C"/>
    <w:rsid w:val="00E0505E"/>
    <w:rsid w:val="00E24C50"/>
    <w:rsid w:val="00E26258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BE7"/>
    <w:rsid w:val="00ED3CD1"/>
    <w:rsid w:val="00ED4A6C"/>
    <w:rsid w:val="00ED72B5"/>
    <w:rsid w:val="00EE20F5"/>
    <w:rsid w:val="00EE32D3"/>
    <w:rsid w:val="00EE37D6"/>
    <w:rsid w:val="00EE72DA"/>
    <w:rsid w:val="00F018EC"/>
    <w:rsid w:val="00F0453D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2836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00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1EC5D-B62C-4988-9892-A8743A60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Andres Fergadiotti</cp:lastModifiedBy>
  <cp:revision>2</cp:revision>
  <cp:lastPrinted>2018-09-13T14:26:00Z</cp:lastPrinted>
  <dcterms:created xsi:type="dcterms:W3CDTF">2019-05-23T21:39:00Z</dcterms:created>
  <dcterms:modified xsi:type="dcterms:W3CDTF">2019-05-23T21:39:00Z</dcterms:modified>
</cp:coreProperties>
</file>